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EastAsia" w:hAnsiTheme="minorEastAsia" w:cs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sz w:val="28"/>
          <w:szCs w:val="28"/>
          <w:highlight w:val="none"/>
        </w:rPr>
        <w:t>内蒙古天奇蒙药集团</w:t>
      </w:r>
    </w:p>
    <w:p>
      <w:pPr>
        <w:widowControl/>
        <w:spacing w:line="360" w:lineRule="auto"/>
        <w:jc w:val="center"/>
        <w:rPr>
          <w:rFonts w:asciiTheme="minorEastAsia" w:hAnsiTheme="minorEastAsia" w:cs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sz w:val="28"/>
          <w:szCs w:val="28"/>
          <w:highlight w:val="none"/>
        </w:rPr>
        <w:t>2019年</w:t>
      </w:r>
      <w:r>
        <w:rPr>
          <w:rFonts w:hint="eastAsia" w:asciiTheme="minorEastAsia" w:hAnsiTheme="minorEastAsia" w:cstheme="minorEastAsia"/>
          <w:b/>
          <w:sz w:val="28"/>
          <w:szCs w:val="28"/>
          <w:highlight w:val="none"/>
          <w:lang w:eastAsia="zh-CN"/>
        </w:rPr>
        <w:t>四</w:t>
      </w:r>
      <w:r>
        <w:rPr>
          <w:rFonts w:hint="eastAsia" w:asciiTheme="minorEastAsia" w:hAnsiTheme="minorEastAsia" w:cstheme="minorEastAsia"/>
          <w:b/>
          <w:sz w:val="28"/>
          <w:szCs w:val="28"/>
          <w:highlight w:val="none"/>
        </w:rPr>
        <w:t>季度中药材招标公告</w:t>
      </w:r>
    </w:p>
    <w:p>
      <w:pPr>
        <w:spacing w:line="480" w:lineRule="auto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尊敬的广大药商、同仁：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感谢多年来一直对天奇蒙药集团的帮助与支持！为进一步加强与中药材供应商良好的合作，面对市场竞争，实现合作共赢，我公司于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2019年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16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日至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2019年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yellow"/>
          <w:lang w:val="en-US" w:eastAsia="zh-CN"/>
        </w:rPr>
        <w:t>23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日进行2019年第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四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季度中药材公开招标，欢迎全国各地产区新老客户踊跃参与！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天奇蒙药集团是致力于民族健康产业发展的企业集团，业务涵盖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auto"/>
        </w:rPr>
        <w:t>“蒙中成药、健康食品、药材资源、第三方检测”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 xml:space="preserve">四个核心板块。   </w:t>
      </w:r>
    </w:p>
    <w:p>
      <w:pPr>
        <w:spacing w:line="480" w:lineRule="auto"/>
        <w:ind w:firstLine="482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auto"/>
        </w:rPr>
        <w:t>蒙中成药板块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集团公司建有蒙药智能制造车间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，可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生产胶囊剂、片剂、丸剂等多种剂型共百余个品种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，集团一直以“标准高、药材优、工艺精、检验严”的准则打造“精品药”。</w:t>
      </w:r>
    </w:p>
    <w:p>
      <w:pPr>
        <w:spacing w:line="480" w:lineRule="auto"/>
        <w:ind w:firstLine="482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auto"/>
        </w:rPr>
        <w:t>健康食品板块：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shd w:val="clear" w:color="auto" w:fill="auto"/>
        </w:rPr>
        <w:t>集团建有健康食品智能制造数字化车间，可生产软胶囊、口服液、胶囊剂、片剂、颗粒剂等多种剂型的保健食品及功能食品。其中，利用内蒙古丰富的动植物资源研发的精品畜源多肽系列产品，获得多项国家发明专利。</w:t>
      </w:r>
    </w:p>
    <w:p>
      <w:pPr>
        <w:spacing w:line="480" w:lineRule="exact"/>
        <w:ind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auto"/>
        </w:rPr>
        <w:t>药材资源板块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：集团整合药材资源产业链，布局北方区域，形成覆盖东北三省和内蒙古的道地药材产地直供能力。实现药材的种植规范化、仓储现代化、加工标准化、交易规模化，形成产业闭环，从源头保障蒙药材安全。并承担国家中药材流通追溯体系内蒙古平台的运行，实现蒙药材“来源可知、去向可追、责任可究”的溯源目标。</w:t>
      </w:r>
    </w:p>
    <w:p>
      <w:pPr>
        <w:spacing w:line="480" w:lineRule="exact"/>
        <w:ind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shd w:val="clear" w:color="auto" w:fill="auto"/>
        </w:rPr>
        <w:t>第三方检测板块：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天奇蒙药集团拥有独立的第三方食品药品检验检测中心，已通过国家专业评审机构认证，并取得《检验检测机构资质认定证书》（CMA），可承接社会及政府机构委托的检验检测工作。</w:t>
      </w:r>
    </w:p>
    <w:p>
      <w:pPr>
        <w:spacing w:line="480" w:lineRule="exact"/>
        <w:ind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集团公司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还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始终坚持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科技研发、市场营销、人才培育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三位一体，为天奇蒙药集团在民族健康产业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  <w:lang w:eastAsia="zh-CN"/>
        </w:rPr>
        <w:t>发展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  <w:t>保驾护航。</w:t>
      </w:r>
    </w:p>
    <w:p>
      <w:pPr>
        <w:spacing w:line="480" w:lineRule="exact"/>
        <w:ind w:firstLineChars="20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shd w:val="clear" w:color="auto" w:fill="auto"/>
        </w:rPr>
      </w:pPr>
    </w:p>
    <w:p>
      <w:pPr>
        <w:spacing w:line="480" w:lineRule="auto"/>
        <w:ind w:firstLine="480" w:firstLineChars="200"/>
        <w:rPr>
          <w:rFonts w:hint="eastAsia" w:asciiTheme="minorEastAsia" w:hAnsiTheme="minorEastAsia" w:cstheme="minorEastAsia"/>
          <w:color w:val="FF0000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color w:val="FF0000"/>
          <w:sz w:val="24"/>
          <w:szCs w:val="24"/>
          <w:highlight w:val="none"/>
        </w:rPr>
        <w:t xml:space="preserve">  </w:t>
      </w:r>
    </w:p>
    <w:p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一、招标品种及质量要求：</w:t>
      </w:r>
    </w:p>
    <w:p>
      <w:pPr>
        <w:spacing w:line="360" w:lineRule="auto"/>
        <w:ind w:left="482" w:hanging="482" w:hangingChars="200"/>
        <w:rPr>
          <w:rFonts w:asciiTheme="minorEastAsia" w:hAnsi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㈠招标中药饮片明细及质量要求</w:t>
      </w:r>
    </w:p>
    <w:tbl>
      <w:tblPr>
        <w:tblStyle w:val="7"/>
        <w:tblW w:w="9420" w:type="dxa"/>
        <w:jc w:val="center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074"/>
        <w:gridCol w:w="932"/>
        <w:gridCol w:w="750"/>
        <w:gridCol w:w="748"/>
        <w:gridCol w:w="384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4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932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750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748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数量/kg</w:t>
            </w:r>
          </w:p>
        </w:tc>
        <w:tc>
          <w:tcPr>
            <w:tcW w:w="3849" w:type="dxa"/>
            <w:shd w:val="clear" w:color="auto" w:fill="BFBFB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1316" w:type="dxa"/>
            <w:shd w:val="clear" w:color="auto" w:fill="BFBFB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白果仁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白术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个子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统个，80头/kg以内，直径3cm的不得少于40%，地上部分不得过2cm，断面黄白色,油点明显，脱落地上茎不得有，变色不得过1%，无油个、焦枯。杂质不得过1%。无虫蛀、霉变。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白鲜皮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抽芯率大于85%，无细须根，其他项符合《中国药典》2015年版白鲜皮药材规定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白芷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统货，无油条，虫蛀，无土杂。其他项符合2015版药典规定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百部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姜半夏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厂购，粉质，资质符合规定，符合2015版药典姜半夏要求，带报告单，GMP证书</w:t>
            </w:r>
          </w:p>
        </w:tc>
        <w:tc>
          <w:tcPr>
            <w:tcW w:w="13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个/片，不得检出水麦冬酸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清半夏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厂购，粉质，资质符合规定，符合2015版药典清半夏要求，带报告单，GMP证书</w:t>
            </w:r>
          </w:p>
        </w:tc>
        <w:tc>
          <w:tcPr>
            <w:tcW w:w="13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个/片，不得检出水麦冬酸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槟榔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碎渣不得过2%，整个不得过5%，杂质不得过1%。无霉变、虫蛀、泛油、油哈味。黄曲霉合格，其他项符合《中国药典》2015年版规定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薄荷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统货，个子，叶不得少于30%，含量合格、灰分合格，其他各项符合《中国药典》2015年版规定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苍术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个，半撞光或撞光，灰棕色，对面棕红色油室，药材的长度不得低于3cm,中部直径1cm以上,净地上部分不得过1%，长度不得过1cm。撞光。无虫蛀、霉变。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草豆蔻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草果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新货，颗粒饱满，其他项符合《中国药典》2015年版药材规定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顶端直径0.3cm以下的不得过2%，北柴胡，表面黑褐色或浅棕色，地上部分杂质不得过2cm，气微香。灰渣不得过3%，碎屑、无虫蛀、霉变。具体情况可电话咨询。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水洗货，土杂不超过3%，水分9%以内，水洗2遍处理后收率不低于75%，其他项符合《中国药典》2015年版规定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沙地不水洗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无砂石、杂质及霉变，其他项符合《中国药典》2015年版规定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陈皮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外表面橙红色或红棕色，无虫蛀、霉变。橙皮苷＞5%，其他项符合《中国药典》2015年版规定。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川贝母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各项符合《中国药典》2015年版规定。具体可电话咨询。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川楝子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川芎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统个，直径2cm以上，无空心，无焦枯，其他项符合《中国药典》2015年版药材规定。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大腹皮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大黄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两年生以上，直径3cm以上，3cm以下不得过10%，水分小于11%，其他项符合《中国药典》2015年版规定。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药用大黄个或段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统货，地上部分不得过2cm,无发霉虫蛀现象，其他项符合《中国药典》2015年版规定。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大枣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空心，烘干货，其他项符合2015版药典规定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统货，无死头、虫蛀及霉变，具油性，无碎尾。其他项符合《中国药典》2015年版规定。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党参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药厂统货无虫蛀及霉变，无碎尾，不带铁丝，其他项符合《中国药典》2015年版药材规定。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统条/小条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稻芽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地枫皮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无木芯，碎末不超过3%，为正品，其他各项符合《中国药典》2015年版规定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地黄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中部直径2厘米以上，断面棕黑或乌黑色，无虫蛀及霉变，无芦头，小三级，120支，其他各项符合《中国药典》2015年版规定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地龙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无油条，虫蛀，非冻干，灰分，重金属合格，其他各项符合《中国药典》2015年版规定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丁香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>花蕾，饱满，气芳香浓烈，杂质不得过3%。无虫蛀、霉变。其他各项符合《中国药典》2015年版规定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豆蔻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碎末不得过1%，霉变蔻仁不得过1%，其他各项符合《中国药典》2015年版规定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莪术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滚筒去毛，新货，其他各项符合《中国药典》2015年版规定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法半夏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厂购，粉质，资质符合规定，符合2015版药典法半夏要求，带报告单，GMP证书</w:t>
            </w:r>
          </w:p>
        </w:tc>
        <w:tc>
          <w:tcPr>
            <w:tcW w:w="13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个，不得检出水麦冬酸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佛手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四川货，薄厚均匀，无黑片，新货，水分合格，其他各项符合《中国药典》2015年版规定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茯苓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茯苓块，大丁统货，无含沙丁，去粉末及虫蛀，其他各项符合《中国药典》2015年版规定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厂购，资质符合要求，为黑顺片，其他各项符合《中国药典》2015年版规定，带报告单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去除残茎，直径0.3厘米以上，无杂质（杂草），无须根。具体可电话咨询。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狗脊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薄厚均匀，坚实，国产货，其他各项符合《中国药典》2015年版规定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广藿香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统货，叶不得少于20%，含量合格、灰分合格，其他各项符合《中国药典》2015年版规定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桂枝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直径0.4-0.6各项符合《中国药典》2015年版规定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诃子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黑诃子或金诃子，各项符合《中国药典》2015年版规定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无沙粒，叶及杂质小于2%，厚朴酚及和厚朴酚不得低于3.0%，其他各项符合《中国药典》2015年版及补充检验规定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厚朴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无枝皮无干皮，厚朴酚及和厚朴酚不得低于4.0%，其他各项符合《中国药典》2015年版规定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胡黄连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无细须根，二条或统货（两种规格都同时投标），杂质及药屑不得过1%，其他各项符合《中国药典》2015年版及补充检验规定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琥珀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煤珀，符合1977版药典琥珀规定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外表面黄褐色或黄棕色，断面深黄色 。不得有有枝皮，不得有粗栓皮，其他各项符合《中国药典》2015年版规定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鸡爪连，新货，无残茎、无焦枯及霉变，总灰分不超过4%，含盐酸小檗碱≥6.1%，其他各项符合《中国药典》2015年版规定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鸡爪连，新货，无残茎、无焦枯及霉变，总灰分不超过4%，其他各项符合《中国药典》2015年版规定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黄芩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2年生以上，包括两年。去净粗皮，无须根，地上部分长度不得过1cm。杂质不得过2%，总灰分不得过6%。无虫蛀、霉变，绿茬黄芩不得过1%，黄芩苷不得低于11.5%，其他各项符合《中国药典》2015年版规定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火麻仁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统货，带壳，无走油变质，其他各项符合《中国药典》2015年版规定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鸡内金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无走油，无鹅内金及鸭内金，其他各项符合《中国药典》2015年版规定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枝杆、叶片不得过5%，不得有灰渣，杂质不得过1%，无虫蛀、霉变，山银花成分不得检出，含量测定和重金属符合《中国药典》2015年版规定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荆芥穗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统货，各项符合《中国药典》2015年版规定。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山茱萸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表面紫红色至紫黑色，油润光泽。果核、果梗不得过3%，杂质不得过1%。无虫蛀、霉变。马钱苷不得低于0.75%，其他各项符合《中国药典》2015年版规定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桔梗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无冻干，带皮个，无杂质，无霉变，其他各项符合《中国药典》2015年版规定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菊花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枝叶杂质小于2%，其他各项符合《中国药典》2015年版规定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苦杏仁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无核壳，破碎粒不超过3%，无油粒及变色，含苦杏仁苷不得少于4.0%，其他各项符合《中国药典》2015年版规定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莱菔子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水洗货，无碎石等杂质，其他各项符合《中国药典》2015年版规定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枝叶、杂质、枯翘不得过1%，药屑及脱落的籽不得过2%，无霉变。其他各项符合《中国药典》2015年版规定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龙眼肉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龙胆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水洗货，无茎叶，杂质不得过3%，霉变。其他各项符合《中国药典》2015年版规定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麻黄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无杂草、无根、盐酸麻黄碱大于1%。具有相应资质。其他各项符合《中国药典》2015年版规定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个/段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麦芽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各项符合2015版药典规定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蔓荆子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符合2015版药典规定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牡丹皮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抽芯率90%以上，丹皮酚≥2.5，其他各项符合《中国药典》2015年版规定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木通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湖北三叶木通，片或段，其他各项符合《中国药典》2015年版规定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木香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统货，无芦头、无油条，无霉变及须根。其他各项符合《中国药典》2015年版规定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南蛇藤果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符合内蒙古药材标准规定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牛蒡子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无砂石，无瘪粒，无霉变，牛蒡苷不得少于7.3%，其他各项符合《中国药典》2015年版规定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蒲公英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野生，无杂草，无土及砂石，其他各项符合《中国药典》2015年版规定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编织袋包装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千年健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牵牛子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白丑，去石粒，籽粒饱满，无杂质，无走油。其他各项符合《中国药典》2015年版规定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前胡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无松泡，无抽茎条，无碎末，晒干货，其他各项符合《中国药典》2015年版规定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茜草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无茎叶，杂质，霉变。杂质不得过3%，其他各项符合《中国药典》2015年版规定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青皮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直径2.5cm以下，各项符合《中国药典》2015年版规定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人参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4年以上，含量农残都合格，其他各项符合《中国药典》2015年版规定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肉桂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桂筒，其他各项符合《中国药典》2015年版规定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桂碎单独报价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三棱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长2～6cm，直径2～4cm，短须根长0.8cm以内不得过10%，无霉变、虫蛀，杂质灰渣不得过1%。其他各项符合《中国药典》2015年版规定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砂仁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国产货，籽粒饱满，无空壳，无杂质，种子团无质，水分合格，灰分合格，其他各项符合《中国药典》2015年版规定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山药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统货，水洗，毛山药，去粗皮，其他各项符合《中国药典》2015年版规定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升麻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滚筒货，无须毛，无土杂质，其他各项符合《中国药典》2015年版规定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去毛，统货，其他各项符合《中国药典》2015年版规定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酸枣仁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颗粒饱满，无砂石，无瘪粒，无霉变，壳及杂质不得过2%，其他各项符合《中国药典》2015年版规定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檀香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符合2015版药典规定，具体可电话咨询。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天花粉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统货，无糠心，无粗皮，其他各项符合《中国药典》2015年版规定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葶苈子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籽粒饱满、有油性，无杂质、泥沙、霉变，其他各项符合《中国药典》2015年版规定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王不留行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过筛无杂质，其他各项符合《中国药典》2015年版规定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威灵仙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水洗货，砂石、杂质不得过2%，其他各项符合《中国药典》2015年版规定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乌药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统货，筛去沫子，要求粉质60%以上，其他各项符合《中国药典》2015年版规定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吴茱萸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中花，表面暗黄绿色，气芳香浓郁，开放果不得过3%。灰渣不得过1%，枝杆、杂质不得过1%。无虫蛀、霉变。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五灵脂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无杂质，纯净货，符合1990版药典规定。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五味子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北五味，五味子醇甲不得少于0.73%，其余各项符合《中国药典》2015年版规定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西青果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符合《中国药典》2015年版规定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香附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光香附，无毛须，无断节粒及霉变，直径0.5cm以上，直径1cm以上不得少于20%，其他项符合《中国药典》2015年版规定。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香橼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枸橼，水分小于10%，其他项符合《中国药典》2015年版规定。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玄参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无芦头，无变质，其他项符合《中国药典》2015年版规定。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益母草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无根及其他杂质，机器捆内部无霉变，其他项符合《中国药典》2015年版规定。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郁金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个，直径1cm以上，无霉变，无杂质，其他项符合《中国药典》2015年版规定。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郁李仁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颗粒饱满，浅棕色，带油性，碎瓣不得过3%，变色品不得过2%，无严重变色品。蔫籽不得过1%，灰渣不得过1%。硬壳、杂质不得过2%，无虫蛀、霉变。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远志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统货，无须根，地上部位不得过2cm。无虫蛀霉变。含量合格，黄曲霉合格，其他项符合《中国药典》2015年版规定。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泽兰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无根，茎方柱形，黄绿色，灰渣不得过2%，杂质不得过1%。无虫蛀、霉变。其他项符合《中国药典》2015年版规定。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泽泻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断面白色，断面焦黄色比例不得过5%，无走油，无须根，其他项符合《中国药典》2015年版规定。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浙贝母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珠贝，统货，无硫，其他项符合《中国药典》2015年版规定。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知母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统货，除净须根和泥沙，含量合格，其他项符合《中国药典》2015年版规定。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栀子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黑果1%以内、无杂质霉变、无碎屑、中后期货。栀子苷不得过3.5%，其他项符合《中国药典》2015年版规定。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枳壳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水分合格，含量合格，其余各项符合《中国药典》2015年版规定。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枳实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直径2.5cm以内，无枳实片、小青皮掺入，不得掺有胡柚，球形不得过5%，厚度0.3cm-1.2cm，灰渣不得过2%，杂质不得过1%。无虫蛀、霉变。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其余各项符合《中国药典》2015年版规定。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草乌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制草乌，厂购，资质符合要求，符合2015版药典要求，带报告单，GMP证书，具体情况可电话咨询。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川乌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制川乌，厂购，资质符合要求，符合2015版药典要求，带报告单，GMP证书，具体情况可电话咨询。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紫花地丁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无杂草，无土及砂石，其他项符合《中国药典》2015年版规定。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紫苏梗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水分合格，灰分合格，其他项符合《中国药典》2015年版规定。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7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紫苏叶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统货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无杂草，至少一面是紫色，其他项符合《中国药典》2015年版规定。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半夏曲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厂购，资质符合规定，符合2015版药典要求，带报告单，及相关批件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冰片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厂购，资质符合规定，符合2015版药典要求，带报告单，及相关批件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薄荷脑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厂购，资质符合规定，符合2015版药典要求，带报告单，及相关批件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胆南星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厂购，资质符合规定，符合2015版药典要求，带报告单，及相关批件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六神曲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厂购，资质符合规定，符合2015版药典要求，带报告单，及相关批件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芒硝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厂购，资质符合规定，符合2015版药典要求，带报告单，及相关批件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7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青黛</w:t>
            </w:r>
          </w:p>
        </w:tc>
        <w:tc>
          <w:tcPr>
            <w:tcW w:w="93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</w:t>
            </w:r>
          </w:p>
        </w:tc>
        <w:tc>
          <w:tcPr>
            <w:tcW w:w="75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74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84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厂购，资质符合规定，符合2015版药典要求，带报告单，及相关批件</w:t>
            </w:r>
          </w:p>
        </w:tc>
        <w:tc>
          <w:tcPr>
            <w:tcW w:w="131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注：以上地产类品种可接受内蒙古自治区农村户籍个人投标,需要提供个人身份证复印件和当地村委会盖章地产证明.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投标须知（所有投标客户均要将纸质版标书，对应样品，新投标的企业全套资质两份在截止日期前同时邮寄，未在截止时间前邮寄的供应商或者邮寄材料不全的厂商视为废标）</w:t>
      </w:r>
    </w:p>
    <w:p>
      <w:pPr>
        <w:pStyle w:val="12"/>
        <w:numPr>
          <w:ilvl w:val="0"/>
          <w:numId w:val="0"/>
        </w:numPr>
        <w:spacing w:line="480" w:lineRule="auto"/>
        <w:ind w:firstLine="480" w:firstLineChars="200"/>
        <w:rPr>
          <w:rFonts w:asciiTheme="minorEastAsia" w:hAnsiTheme="minorEastAsia" w:cstheme="minorEastAsia"/>
          <w:sz w:val="36"/>
          <w:szCs w:val="36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样品：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有意参与投标的供应商，请自行下载竞标书一份（附件1），逐项进行填写。一个品种（规格）一份标书，投标的供应商，请准备符合我公司质量要求的大货样品二份，每份300g，邮寄至我公司一份，自己留存一份（以便与实际来货进行比对，确保参与投标样品与来货质量一致）。</w:t>
      </w:r>
    </w:p>
    <w:p>
      <w:pPr>
        <w:pStyle w:val="12"/>
        <w:spacing w:line="480" w:lineRule="auto"/>
        <w:ind w:firstLine="0" w:firstLineChars="0"/>
        <w:rPr>
          <w:rFonts w:asciiTheme="minorEastAsia" w:hAnsiTheme="minorEastAsia" w:cstheme="minorEastAsia"/>
          <w:b/>
          <w:bCs/>
          <w:color w:val="D9D9D9" w:themeColor="background1" w:themeShade="D9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注：邮寄的样品包装袋为透明包装，并粘贴我公司样品标签（附件2），标明企业名称、样品名称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规格等级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eastAsia="zh-CN"/>
        </w:rPr>
        <w:t>、投标人及联系方式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2、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资质、标书：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参与投标的新合作供应商申请投标时，必须提供完整企业资质2套（若为专业种植户需提供身份证、地产证明）并加盖单位原印章，与样品、竞标书一并携带（或邮寄）我公司，以上资料必须在2019年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 xml:space="preserve">日12：00前送达我公司。 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FFFF00"/>
          <w:sz w:val="24"/>
          <w:szCs w:val="24"/>
          <w:highlight w:val="none"/>
          <w:shd w:val="clear" w:color="FFFFFF" w:fill="D9D9D9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3、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发票：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凡竞标客户必须开具增值税发票，资质合格，竞标成功后，需由供应商开具相应中标品种的增值税发票。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none"/>
        </w:rPr>
        <w:t>4、</w:t>
      </w:r>
      <w:r>
        <w:rPr>
          <w:rStyle w:val="10"/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u w:val="none"/>
        </w:rPr>
        <w:t>保证金：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凡中标客户，签订合同之前投标人须交纳中标价款总额5%的履约保证金（新客户履约保证金以现金方式支付），保证金在与货款同期支付。</w:t>
      </w:r>
    </w:p>
    <w:p>
      <w:pPr>
        <w:pStyle w:val="12"/>
        <w:numPr>
          <w:ilvl w:val="0"/>
          <w:numId w:val="0"/>
        </w:numPr>
        <w:spacing w:line="480" w:lineRule="auto"/>
        <w:ind w:firstLine="480" w:firstLineChars="200"/>
        <w:rPr>
          <w:rFonts w:asciiTheme="minorEastAsia" w:hAnsiTheme="minorEastAsia" w:cstheme="minorEastAsia"/>
          <w:sz w:val="36"/>
          <w:szCs w:val="36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5、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电子投标：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如有特殊原因，不能按时邮寄投标竞标书，需打电话告知招标联系人，并将加盖公司公章的电子版投标书于2019年6月10日12:00前发送到我公司招标邮箱（tqmyjtzb@163.com），投标样品也必须于2019年6月10日12:00前送至我公司，" </w:instrText>
      </w:r>
      <w:r>
        <w:rPr>
          <w:highlight w:val="none"/>
        </w:rPr>
        <w:fldChar w:fldCharType="separate"/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</w:rPr>
        <w:t>如有特殊原因，不能按时邮寄投标竞标书，需打电话告知招标联系人，并将加盖公司公章的电子版投标书于2019年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</w:rPr>
        <w:t>月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23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</w:rPr>
        <w:t>日12:00前发送到我公司招标邮箱（tqmyjtzb@163.com），投标样品也必须于2019年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</w:rPr>
        <w:t>月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23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</w:rPr>
        <w:t>日12:00前送至我公司，</w:t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</w:rPr>
        <w:fldChar w:fldCharType="end"/>
      </w:r>
      <w:r>
        <w:rPr>
          <w:rStyle w:val="10"/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如有特殊情况不能及时邮寄样品的，电子</w:t>
      </w:r>
      <w:r>
        <w:rPr>
          <w:rFonts w:hint="eastAsia" w:asciiTheme="minorEastAsia" w:hAnsiTheme="minorEastAsia" w:cstheme="minorEastAsia"/>
          <w:color w:val="0000FF"/>
          <w:sz w:val="24"/>
          <w:szCs w:val="24"/>
          <w:highlight w:val="none"/>
          <w:u w:val="single"/>
          <w:lang w:eastAsia="zh-CN"/>
        </w:rPr>
        <w:t>投递标书的同时可附对应品种的样品图片（所附图片</w:t>
      </w:r>
      <w:r>
        <w:rPr>
          <w:rFonts w:hint="eastAsia" w:asciiTheme="minorEastAsia" w:hAnsiTheme="minorEastAsia" w:cstheme="minorEastAsia"/>
          <w:color w:val="0000FF"/>
          <w:sz w:val="24"/>
          <w:szCs w:val="24"/>
          <w:highlight w:val="none"/>
          <w:u w:val="single"/>
          <w:lang w:val="en-US" w:eastAsia="zh-CN"/>
        </w:rPr>
        <w:t>必须代表大货</w:t>
      </w:r>
      <w:r>
        <w:rPr>
          <w:rFonts w:hint="eastAsia" w:asciiTheme="minorEastAsia" w:hAnsiTheme="minorEastAsia" w:cstheme="minorEastAsia"/>
          <w:color w:val="0000FF"/>
          <w:sz w:val="24"/>
          <w:szCs w:val="24"/>
          <w:highlight w:val="none"/>
          <w:u w:val="single"/>
          <w:lang w:eastAsia="zh-CN"/>
        </w:rPr>
        <w:t>）但最终同等价格的会优先中标有实物样品的供应商。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Style w:val="10"/>
          <w:rFonts w:hint="eastAsia" w:asciiTheme="minorEastAsia" w:hAnsiTheme="minorEastAsia" w:cstheme="minorEastAsia"/>
          <w:color w:val="auto"/>
          <w:sz w:val="24"/>
          <w:szCs w:val="24"/>
          <w:highlight w:val="none"/>
          <w:u w:val="none"/>
        </w:rPr>
        <w:t>6、</w:t>
      </w:r>
      <w:r>
        <w:rPr>
          <w:rStyle w:val="10"/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u w:val="none"/>
        </w:rPr>
        <w:t>中标通知：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综合评标后5个工作日内我公司将通知中标客户，落标客户不另行通知。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7、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投标有效期：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竞标书一经投递成功，2019年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30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日前投递内容全部有效。</w:t>
      </w:r>
    </w:p>
    <w:p>
      <w:pPr>
        <w:spacing w:line="480" w:lineRule="auto"/>
        <w:rPr>
          <w:rStyle w:val="10"/>
          <w:rFonts w:asciiTheme="minorEastAsia" w:hAnsiTheme="minorEastAsia" w:cstheme="minorEastAsia"/>
          <w:b/>
          <w:bCs/>
          <w:color w:val="auto"/>
          <w:sz w:val="24"/>
          <w:szCs w:val="24"/>
          <w:highlight w:val="none"/>
          <w:u w:val="none"/>
        </w:rPr>
      </w:pPr>
      <w:r>
        <w:rPr>
          <w:rStyle w:val="10"/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u w:val="none"/>
        </w:rPr>
        <w:t>三、付款方式</w:t>
      </w:r>
      <w:bookmarkStart w:id="0" w:name="_GoBack"/>
      <w:bookmarkEnd w:id="0"/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本次招标严格按照3个月账期进行付款，中标金额超过20万元的可接受50%承兑汇票，中标金额20万以内的原则不支付承兑汇票，付款周期以货到验收、检测合格后为计算时间起点（检验时间15-20天）。</w:t>
      </w:r>
    </w:p>
    <w:p>
      <w:pPr>
        <w:spacing w:line="480" w:lineRule="auto"/>
        <w:rPr>
          <w:rStyle w:val="10"/>
          <w:rFonts w:asciiTheme="minorEastAsia" w:hAnsiTheme="minorEastAsia" w:cstheme="minorEastAsia"/>
          <w:b/>
          <w:bCs/>
          <w:color w:val="auto"/>
          <w:sz w:val="24"/>
          <w:szCs w:val="24"/>
          <w:highlight w:val="none"/>
          <w:u w:val="none"/>
        </w:rPr>
      </w:pPr>
      <w:r>
        <w:rPr>
          <w:rStyle w:val="10"/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u w:val="none"/>
        </w:rPr>
        <w:t>四、供货要求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交货时间：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中标客户，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于通知中标后10-20天将货物运输到我公司指定仓库。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包装要求：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来货包装要求双层无字白色编织袋（特殊品种需配透明塑料内袋）、纸箱、麻袋。所有来货必须自带标签，标签需注明品名、规格、件数、产地、采收或产新时间等（采收时间需与《中国药典》2015年版一部要求一致），未带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标签的货物我公司一律拒收，由此造成的损失由供方承担。</w:t>
      </w:r>
    </w:p>
    <w:p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五、违约责任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信用：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中标客户请于接到通知的5个工作日内交纳履约保证金、签订购销合同，逾期视为自动弃标，并列为失信供应商，禁止其参加天奇蒙药集团旗下子公司的一切采购投标。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2、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合同履行：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中标签订合同后不按合同执行者（包括来货是否与投标样品一致、来货数量和来货时间等）则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罚没履约保证金。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到货延迟：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所有来货未按照合同约定日期到货（延期到货未经同意的），每延迟一天到货罚款货物总额的0.5%。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不合格处理：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到厂药材检测不合格的，供应商在接到我方通知后7日内需尽快办理退货事宜，超出我公司规定退货期限的，每日将收取0.5%货款总额的仓储费。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5、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退货处理：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所有来货经检测不合格退货的，退货运费、装卸车费由供方承担，装卸费标准为60元/吨。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6、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合格率：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二次供货不合格的承担检测费用，三次供货不合格的取消供应商资格。</w:t>
      </w:r>
    </w:p>
    <w:p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六、其他事宜</w:t>
      </w:r>
    </w:p>
    <w:p>
      <w:pPr>
        <w:spacing w:line="480" w:lineRule="auto"/>
        <w:ind w:firstLine="480" w:firstLineChars="200"/>
        <w:rPr>
          <w:rStyle w:val="10"/>
          <w:rFonts w:asciiTheme="minorEastAsia" w:hAnsiTheme="minorEastAsia" w:cstheme="minorEastAsia"/>
          <w:color w:val="auto"/>
          <w:sz w:val="24"/>
          <w:szCs w:val="24"/>
          <w:highlight w:val="none"/>
          <w:u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1、凡竞标客户不得恶意挂靠供应单位，如发生任何后果均由投标企业和供货方自行承担。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 xml:space="preserve">2、采购原则以“道地产区和有种植基地的供应商为优先选择对象”同等条件下优先中标。  </w:t>
      </w:r>
    </w:p>
    <w:p>
      <w:pPr>
        <w:spacing w:line="480" w:lineRule="auto"/>
        <w:rPr>
          <w:rFonts w:asciiTheme="minorEastAsia" w:hAnsiTheme="minorEastAsia" w:cstheme="minorEastAsia"/>
          <w:b/>
          <w:bCs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</w:rPr>
        <w:t>七、投标联系方式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1、样品、标书邮寄地址：内蒙古赤峰市红山经济开发区（天奇中蒙制药有限公司）。</w:t>
      </w:r>
    </w:p>
    <w:p>
      <w:pPr>
        <w:spacing w:line="480" w:lineRule="auto"/>
        <w:ind w:firstLine="480" w:firstLineChars="200"/>
        <w:rPr>
          <w:rFonts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2、标书投递邮箱：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"mailto:tqmyjtzb@163.com" </w:instrText>
      </w:r>
      <w:r>
        <w:rPr>
          <w:highlight w:val="none"/>
        </w:rPr>
        <w:fldChar w:fldCharType="separate"/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tqmyjtzb@163.com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。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3、招标咨询联系人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 xml:space="preserve">总负责人：刘明超13789661982 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采购经理：李鹏伟13734890095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480" w:lineRule="auto"/>
        <w:jc w:val="left"/>
        <w:rPr>
          <w:rFonts w:hint="default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                     采购经理：王桂珍13664769811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4、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样品、标书投递联系人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臧亚茹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13298001426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包红民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15947006692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spacing w:line="48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5、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监督举报联系人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任女士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highlight w:val="none"/>
        </w:rPr>
        <w:t>0476-8210950、 15947140972</w:t>
      </w: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Theme="minorEastAsia" w:hAnsiTheme="minorEastAsia" w:cstheme="minorEastAsia"/>
          <w:sz w:val="24"/>
          <w:szCs w:val="24"/>
          <w:highlight w:val="none"/>
        </w:rPr>
      </w:pPr>
    </w:p>
    <w:p>
      <w:pPr>
        <w:spacing w:line="480" w:lineRule="auto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  <w:highlight w:val="none"/>
        </w:rPr>
        <w:t>附件1：</w:t>
      </w:r>
    </w:p>
    <w:p>
      <w:pPr>
        <w:jc w:val="center"/>
        <w:rPr>
          <w:rFonts w:asciiTheme="minorEastAsia" w:hAnsiTheme="minorEastAsia" w:cstheme="minorEastAsia"/>
          <w:b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b/>
          <w:kern w:val="0"/>
          <w:sz w:val="32"/>
          <w:szCs w:val="32"/>
          <w:highlight w:val="none"/>
        </w:rPr>
        <w:t>内蒙古天奇蒙药集团公开招标采购竞标书</w:t>
      </w:r>
    </w:p>
    <w:p>
      <w:pPr>
        <w:jc w:val="center"/>
        <w:rPr>
          <w:rFonts w:asciiTheme="minorEastAsia" w:hAnsiTheme="minorEastAsia" w:cstheme="minorEastAsia"/>
          <w:bCs/>
          <w:kern w:val="0"/>
          <w:sz w:val="36"/>
          <w:szCs w:val="36"/>
          <w:highlight w:val="none"/>
        </w:rPr>
      </w:pPr>
    </w:p>
    <w:p>
      <w:pPr>
        <w:jc w:val="center"/>
        <w:rPr>
          <w:rFonts w:asciiTheme="minorEastAsia" w:hAnsiTheme="minorEastAsia" w:cstheme="minorEastAsia"/>
          <w:b/>
          <w:kern w:val="0"/>
          <w:sz w:val="22"/>
          <w:highlight w:val="none"/>
        </w:rPr>
      </w:pPr>
      <w:r>
        <w:rPr>
          <w:rFonts w:hint="eastAsia" w:asciiTheme="minorEastAsia" w:hAnsiTheme="minorEastAsia" w:cstheme="minorEastAsia"/>
          <w:b/>
          <w:kern w:val="0"/>
          <w:sz w:val="22"/>
          <w:highlight w:val="none"/>
        </w:rPr>
        <w:t xml:space="preserve">                                                      编号：</w:t>
      </w:r>
    </w:p>
    <w:tbl>
      <w:tblPr>
        <w:tblStyle w:val="7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21"/>
        <w:gridCol w:w="699"/>
        <w:gridCol w:w="1072"/>
        <w:gridCol w:w="368"/>
        <w:gridCol w:w="238"/>
        <w:gridCol w:w="114"/>
        <w:gridCol w:w="1046"/>
        <w:gridCol w:w="582"/>
        <w:gridCol w:w="720"/>
        <w:gridCol w:w="540"/>
        <w:gridCol w:w="180"/>
        <w:gridCol w:w="720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竞标单位情况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名  称</w:t>
            </w:r>
          </w:p>
        </w:tc>
        <w:tc>
          <w:tcPr>
            <w:tcW w:w="35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地  址</w:t>
            </w:r>
          </w:p>
        </w:tc>
        <w:tc>
          <w:tcPr>
            <w:tcW w:w="483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有否经营证照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有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手  机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3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无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竞标商品情况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商品名称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ind w:firstLine="240" w:firstLineChars="100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可供数量</w:t>
            </w:r>
          </w:p>
          <w:p>
            <w:pPr>
              <w:ind w:firstLine="240" w:firstLineChars="100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（公斤）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产地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采收时间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加工方法</w:t>
            </w:r>
          </w:p>
        </w:tc>
        <w:tc>
          <w:tcPr>
            <w:tcW w:w="3998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交货地点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运输方式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竞标价格（含发票含运费）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包装材料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发货地点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交货期限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56" w:type="dxa"/>
            <w:gridSpan w:val="1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商品质量及规格情况简述：（请如实填写，有成分含量的请标明质量指标）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540" w:type="dxa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竞标说明</w:t>
            </w:r>
          </w:p>
        </w:tc>
        <w:tc>
          <w:tcPr>
            <w:tcW w:w="9356" w:type="dxa"/>
            <w:gridSpan w:val="1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竞标单位、人备注：竞标单位、人签名：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5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以下由招标单位填写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选标结果</w:t>
            </w:r>
          </w:p>
        </w:tc>
        <w:tc>
          <w:tcPr>
            <w:tcW w:w="900" w:type="dxa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中标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中标数量</w:t>
            </w:r>
          </w:p>
        </w:tc>
        <w:tc>
          <w:tcPr>
            <w:tcW w:w="1980" w:type="dxa"/>
            <w:gridSpan w:val="4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2156" w:type="dxa"/>
            <w:gridSpan w:val="3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rPr>
                <w:rFonts w:asciiTheme="minorEastAsia" w:hAnsiTheme="minorEastAsia" w:cstheme="minorEastAsia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900" w:type="dxa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落标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highlight w:val="none"/>
              </w:rPr>
              <w:t>处理意见</w:t>
            </w:r>
          </w:p>
        </w:tc>
        <w:tc>
          <w:tcPr>
            <w:tcW w:w="5396" w:type="dxa"/>
            <w:gridSpan w:val="9"/>
          </w:tcPr>
          <w:p>
            <w:pPr>
              <w:rPr>
                <w:rFonts w:asciiTheme="minorEastAsia" w:hAnsiTheme="minorEastAsia" w:cstheme="minorEastAsia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96" w:type="dxa"/>
            <w:gridSpan w:val="15"/>
          </w:tcPr>
          <w:p>
            <w:pPr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highlight w:val="none"/>
              </w:rPr>
              <w:t>备注：</w:t>
            </w: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  <w:highlight w:val="none"/>
              </w:rPr>
              <w:t>1、竞标客户须提供竞标样品一式两份（自己留存一份，以便与来货比对，中标来货质量须与样品一致）。2、报价单位需在报价单加盖单位公章，个人投标需签字确认。</w:t>
            </w:r>
          </w:p>
        </w:tc>
      </w:tr>
    </w:tbl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  <w:highlight w:val="none"/>
        </w:rPr>
        <w:t>附件2：</w:t>
      </w:r>
    </w:p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102235</wp:posOffset>
                </wp:positionV>
                <wp:extent cx="3341370" cy="2229485"/>
                <wp:effectExtent l="5080" t="4445" r="635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37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样品标签</w:t>
                            </w:r>
                          </w:p>
                          <w:p>
                            <w:pPr>
                              <w:spacing w:line="46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企业名称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样品名称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3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规格等级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投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标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联系电话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7.4pt;margin-top:8.05pt;height:175.55pt;width:263.1pt;z-index:251679744;mso-width-relative:page;mso-height-relative:page;" fillcolor="#FFFFFF" filled="t" stroked="t" coordsize="21600,21600" o:gfxdata="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8Z3H9gAAAAKAQAADwAAAAAAAAABACAAAAAiAAAAZHJzL2Rvd25yZXYueG1sUEsBAhQAFAAAAAgA&#10;h07iQPYcByfsAQAA6g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样品标签</w:t>
                      </w:r>
                    </w:p>
                    <w:p>
                      <w:pPr>
                        <w:spacing w:line="46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企业名称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样品名称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pacing w:val="-30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规格等级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投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标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人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联系电话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     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</w:p>
                    <w:p>
                      <w:pPr>
                        <w:spacing w:line="500" w:lineRule="exact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  <w:highlight w:val="none"/>
        </w:rPr>
        <w:t>附件3</w:t>
      </w: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地产证明</w:t>
      </w:r>
    </w:p>
    <w:p>
      <w:pPr>
        <w:ind w:firstLine="560" w:firstLineChars="200"/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我村村民姓名</w:t>
      </w:r>
      <w:r>
        <w:rPr>
          <w:rFonts w:hint="eastAsia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/>
          <w:sz w:val="28"/>
          <w:szCs w:val="28"/>
          <w:highlight w:val="none"/>
        </w:rPr>
        <w:t>，身份证号码</w:t>
      </w:r>
      <w:r>
        <w:rPr>
          <w:rFonts w:hint="eastAsia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eastAsia"/>
          <w:sz w:val="28"/>
          <w:szCs w:val="28"/>
          <w:highlight w:val="none"/>
        </w:rPr>
        <w:t xml:space="preserve"> 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所售出的下列中药材，为地产药材，属自产自销，特此证明。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品名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数量（kg）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单价（元/kg）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 xml:space="preserve"> 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</w:tr>
    </w:tbl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      </w:t>
      </w:r>
      <w:r>
        <w:rPr>
          <w:rFonts w:hint="eastAsia"/>
          <w:sz w:val="28"/>
          <w:szCs w:val="28"/>
          <w:highlight w:val="none"/>
          <w:u w:val="single"/>
        </w:rPr>
        <w:t xml:space="preserve">       </w:t>
      </w:r>
      <w:r>
        <w:rPr>
          <w:rFonts w:hint="eastAsia"/>
          <w:sz w:val="28"/>
          <w:szCs w:val="28"/>
          <w:highlight w:val="none"/>
        </w:rPr>
        <w:t xml:space="preserve"> 省（区）</w:t>
      </w:r>
      <w:r>
        <w:rPr>
          <w:rFonts w:hint="eastAsia"/>
          <w:sz w:val="28"/>
          <w:szCs w:val="28"/>
          <w:highlight w:val="none"/>
          <w:u w:val="single"/>
        </w:rPr>
        <w:t xml:space="preserve">      </w:t>
      </w:r>
      <w:r>
        <w:rPr>
          <w:rFonts w:hint="eastAsia"/>
          <w:sz w:val="28"/>
          <w:szCs w:val="28"/>
          <w:highlight w:val="none"/>
        </w:rPr>
        <w:t xml:space="preserve"> 市（县）</w:t>
      </w:r>
      <w:r>
        <w:rPr>
          <w:rFonts w:hint="eastAsia"/>
          <w:sz w:val="28"/>
          <w:szCs w:val="28"/>
          <w:highlight w:val="none"/>
          <w:u w:val="single"/>
        </w:rPr>
        <w:t xml:space="preserve">     </w:t>
      </w:r>
      <w:r>
        <w:rPr>
          <w:rFonts w:hint="eastAsia"/>
          <w:sz w:val="28"/>
          <w:szCs w:val="28"/>
          <w:highlight w:val="none"/>
        </w:rPr>
        <w:t xml:space="preserve"> 村委会（盖公章）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                                           年   月   日 </w:t>
      </w: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097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0Toi4L4BAABl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714D"/>
    <w:multiLevelType w:val="multilevel"/>
    <w:tmpl w:val="4215714D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85559"/>
    <w:rsid w:val="00001545"/>
    <w:rsid w:val="00001A88"/>
    <w:rsid w:val="00030964"/>
    <w:rsid w:val="00050FE8"/>
    <w:rsid w:val="0005572F"/>
    <w:rsid w:val="0006106C"/>
    <w:rsid w:val="0008045F"/>
    <w:rsid w:val="00091562"/>
    <w:rsid w:val="00096DBB"/>
    <w:rsid w:val="000C2EB0"/>
    <w:rsid w:val="000D6D56"/>
    <w:rsid w:val="000E603C"/>
    <w:rsid w:val="000F4D0C"/>
    <w:rsid w:val="000F6A8C"/>
    <w:rsid w:val="00121156"/>
    <w:rsid w:val="0016603D"/>
    <w:rsid w:val="001824A5"/>
    <w:rsid w:val="001A564E"/>
    <w:rsid w:val="001B15B1"/>
    <w:rsid w:val="00205258"/>
    <w:rsid w:val="002113C4"/>
    <w:rsid w:val="002618F0"/>
    <w:rsid w:val="002758A4"/>
    <w:rsid w:val="00291D42"/>
    <w:rsid w:val="002A3F0B"/>
    <w:rsid w:val="002B3D97"/>
    <w:rsid w:val="002D2902"/>
    <w:rsid w:val="002D29ED"/>
    <w:rsid w:val="002F7C6D"/>
    <w:rsid w:val="00305047"/>
    <w:rsid w:val="0033101E"/>
    <w:rsid w:val="00340FE0"/>
    <w:rsid w:val="00360741"/>
    <w:rsid w:val="00370540"/>
    <w:rsid w:val="00383455"/>
    <w:rsid w:val="00385B6D"/>
    <w:rsid w:val="003C1116"/>
    <w:rsid w:val="003E4D20"/>
    <w:rsid w:val="003E6B7E"/>
    <w:rsid w:val="003E7843"/>
    <w:rsid w:val="004079AA"/>
    <w:rsid w:val="00416094"/>
    <w:rsid w:val="00477498"/>
    <w:rsid w:val="004A6097"/>
    <w:rsid w:val="004C63F7"/>
    <w:rsid w:val="004C6962"/>
    <w:rsid w:val="0050264E"/>
    <w:rsid w:val="00533B8C"/>
    <w:rsid w:val="005525EA"/>
    <w:rsid w:val="00554538"/>
    <w:rsid w:val="0056390E"/>
    <w:rsid w:val="00573340"/>
    <w:rsid w:val="005B0EDA"/>
    <w:rsid w:val="005B1162"/>
    <w:rsid w:val="005B77AE"/>
    <w:rsid w:val="005C1F61"/>
    <w:rsid w:val="005C4E3F"/>
    <w:rsid w:val="005D05AD"/>
    <w:rsid w:val="005F55E3"/>
    <w:rsid w:val="00617424"/>
    <w:rsid w:val="00631921"/>
    <w:rsid w:val="00644122"/>
    <w:rsid w:val="0065326C"/>
    <w:rsid w:val="00660F23"/>
    <w:rsid w:val="006619CA"/>
    <w:rsid w:val="00661EB7"/>
    <w:rsid w:val="00671903"/>
    <w:rsid w:val="00674607"/>
    <w:rsid w:val="00681150"/>
    <w:rsid w:val="00681F78"/>
    <w:rsid w:val="00684037"/>
    <w:rsid w:val="00716BB0"/>
    <w:rsid w:val="007211FC"/>
    <w:rsid w:val="0073447A"/>
    <w:rsid w:val="00737FDA"/>
    <w:rsid w:val="00746640"/>
    <w:rsid w:val="0076006B"/>
    <w:rsid w:val="00785C52"/>
    <w:rsid w:val="007865C6"/>
    <w:rsid w:val="00792893"/>
    <w:rsid w:val="007E7B73"/>
    <w:rsid w:val="007E7E5F"/>
    <w:rsid w:val="008425D7"/>
    <w:rsid w:val="008437F5"/>
    <w:rsid w:val="0087745F"/>
    <w:rsid w:val="008774F6"/>
    <w:rsid w:val="008855C0"/>
    <w:rsid w:val="008F1107"/>
    <w:rsid w:val="008F7B7B"/>
    <w:rsid w:val="00914D53"/>
    <w:rsid w:val="00956035"/>
    <w:rsid w:val="009569B1"/>
    <w:rsid w:val="00973CFA"/>
    <w:rsid w:val="0097455D"/>
    <w:rsid w:val="00991DBF"/>
    <w:rsid w:val="009A3BD4"/>
    <w:rsid w:val="009C7D89"/>
    <w:rsid w:val="009F1663"/>
    <w:rsid w:val="009F2CA6"/>
    <w:rsid w:val="00A03FA3"/>
    <w:rsid w:val="00A21578"/>
    <w:rsid w:val="00A21BCE"/>
    <w:rsid w:val="00A40E2A"/>
    <w:rsid w:val="00A529B0"/>
    <w:rsid w:val="00A56CEB"/>
    <w:rsid w:val="00A61834"/>
    <w:rsid w:val="00A8588E"/>
    <w:rsid w:val="00AC33D4"/>
    <w:rsid w:val="00AD579C"/>
    <w:rsid w:val="00B136A0"/>
    <w:rsid w:val="00B4751C"/>
    <w:rsid w:val="00B53F2F"/>
    <w:rsid w:val="00B82E2B"/>
    <w:rsid w:val="00B8750F"/>
    <w:rsid w:val="00B90B49"/>
    <w:rsid w:val="00B964BB"/>
    <w:rsid w:val="00BB1817"/>
    <w:rsid w:val="00BB3A06"/>
    <w:rsid w:val="00BB7ADD"/>
    <w:rsid w:val="00BD549B"/>
    <w:rsid w:val="00BD6CAE"/>
    <w:rsid w:val="00C2233C"/>
    <w:rsid w:val="00C22693"/>
    <w:rsid w:val="00C24F06"/>
    <w:rsid w:val="00C32C43"/>
    <w:rsid w:val="00C43814"/>
    <w:rsid w:val="00CC7D89"/>
    <w:rsid w:val="00D124D7"/>
    <w:rsid w:val="00D2463E"/>
    <w:rsid w:val="00D271FA"/>
    <w:rsid w:val="00D37993"/>
    <w:rsid w:val="00D474CF"/>
    <w:rsid w:val="00D508C9"/>
    <w:rsid w:val="00D5181D"/>
    <w:rsid w:val="00D52F7E"/>
    <w:rsid w:val="00D60CF7"/>
    <w:rsid w:val="00D77FFE"/>
    <w:rsid w:val="00D91445"/>
    <w:rsid w:val="00DB140D"/>
    <w:rsid w:val="00DB1E14"/>
    <w:rsid w:val="00DB701D"/>
    <w:rsid w:val="00DC19E2"/>
    <w:rsid w:val="00DF1642"/>
    <w:rsid w:val="00DF7DA7"/>
    <w:rsid w:val="00E06FB9"/>
    <w:rsid w:val="00E14345"/>
    <w:rsid w:val="00E15827"/>
    <w:rsid w:val="00E32AB2"/>
    <w:rsid w:val="00E32BF4"/>
    <w:rsid w:val="00E4578D"/>
    <w:rsid w:val="00E55BE1"/>
    <w:rsid w:val="00E66B2B"/>
    <w:rsid w:val="00EC07C3"/>
    <w:rsid w:val="00EE650E"/>
    <w:rsid w:val="00F160B9"/>
    <w:rsid w:val="00F245D2"/>
    <w:rsid w:val="00F31A24"/>
    <w:rsid w:val="00F72E33"/>
    <w:rsid w:val="00F9361B"/>
    <w:rsid w:val="00FA4241"/>
    <w:rsid w:val="00FC740C"/>
    <w:rsid w:val="00FC7DB6"/>
    <w:rsid w:val="00FE0C71"/>
    <w:rsid w:val="00FF03C7"/>
    <w:rsid w:val="00FF7564"/>
    <w:rsid w:val="016460DE"/>
    <w:rsid w:val="024D573B"/>
    <w:rsid w:val="025E480B"/>
    <w:rsid w:val="02FD0589"/>
    <w:rsid w:val="030E4D36"/>
    <w:rsid w:val="033E3B75"/>
    <w:rsid w:val="04471BF0"/>
    <w:rsid w:val="044F35A6"/>
    <w:rsid w:val="046C69C4"/>
    <w:rsid w:val="04E568CE"/>
    <w:rsid w:val="051F67E3"/>
    <w:rsid w:val="056C76F8"/>
    <w:rsid w:val="058E6A16"/>
    <w:rsid w:val="069176EA"/>
    <w:rsid w:val="06EB1075"/>
    <w:rsid w:val="06EC45A9"/>
    <w:rsid w:val="06FF68EE"/>
    <w:rsid w:val="07BB2B25"/>
    <w:rsid w:val="08253817"/>
    <w:rsid w:val="089256AF"/>
    <w:rsid w:val="091875D6"/>
    <w:rsid w:val="093A3472"/>
    <w:rsid w:val="09435D48"/>
    <w:rsid w:val="099E073A"/>
    <w:rsid w:val="0A2B0C39"/>
    <w:rsid w:val="0A7F5D62"/>
    <w:rsid w:val="0A9C6754"/>
    <w:rsid w:val="0ABA0AB9"/>
    <w:rsid w:val="0AD347A9"/>
    <w:rsid w:val="0B123D00"/>
    <w:rsid w:val="0B510E95"/>
    <w:rsid w:val="0C7C7632"/>
    <w:rsid w:val="0CA50486"/>
    <w:rsid w:val="0D790BC8"/>
    <w:rsid w:val="0DB40645"/>
    <w:rsid w:val="0DC03A0C"/>
    <w:rsid w:val="0E0413B3"/>
    <w:rsid w:val="0E213C16"/>
    <w:rsid w:val="0E6A6BA3"/>
    <w:rsid w:val="0E7E5337"/>
    <w:rsid w:val="0EF10DC3"/>
    <w:rsid w:val="0EFD09BA"/>
    <w:rsid w:val="0F114979"/>
    <w:rsid w:val="100A28A2"/>
    <w:rsid w:val="10604239"/>
    <w:rsid w:val="10B33705"/>
    <w:rsid w:val="10E02F15"/>
    <w:rsid w:val="11512B97"/>
    <w:rsid w:val="11B87437"/>
    <w:rsid w:val="11FA734D"/>
    <w:rsid w:val="12594AFD"/>
    <w:rsid w:val="1282570F"/>
    <w:rsid w:val="12EC4291"/>
    <w:rsid w:val="12ED399A"/>
    <w:rsid w:val="132269A2"/>
    <w:rsid w:val="137C3B91"/>
    <w:rsid w:val="138C6730"/>
    <w:rsid w:val="13924E95"/>
    <w:rsid w:val="13BF3D52"/>
    <w:rsid w:val="141E30F2"/>
    <w:rsid w:val="14834647"/>
    <w:rsid w:val="148910AE"/>
    <w:rsid w:val="14C01425"/>
    <w:rsid w:val="14E31A8A"/>
    <w:rsid w:val="156400F6"/>
    <w:rsid w:val="16513046"/>
    <w:rsid w:val="168F1EDC"/>
    <w:rsid w:val="16D119CE"/>
    <w:rsid w:val="17274243"/>
    <w:rsid w:val="17D54222"/>
    <w:rsid w:val="17ED03D1"/>
    <w:rsid w:val="17EE34A5"/>
    <w:rsid w:val="18091F95"/>
    <w:rsid w:val="189B5653"/>
    <w:rsid w:val="18BB11C8"/>
    <w:rsid w:val="190B1154"/>
    <w:rsid w:val="191E7636"/>
    <w:rsid w:val="19F413EC"/>
    <w:rsid w:val="1A36061A"/>
    <w:rsid w:val="1AE37A5D"/>
    <w:rsid w:val="1B4A5269"/>
    <w:rsid w:val="1B7A5E34"/>
    <w:rsid w:val="1B805D1A"/>
    <w:rsid w:val="1BA26BA1"/>
    <w:rsid w:val="1BCA104F"/>
    <w:rsid w:val="1C337A66"/>
    <w:rsid w:val="1D1F5311"/>
    <w:rsid w:val="1D4D7CB2"/>
    <w:rsid w:val="1D5F47F7"/>
    <w:rsid w:val="1D7312C1"/>
    <w:rsid w:val="1DBF2E93"/>
    <w:rsid w:val="1E1771D3"/>
    <w:rsid w:val="1E8458B5"/>
    <w:rsid w:val="1EE77ABE"/>
    <w:rsid w:val="1F1620D0"/>
    <w:rsid w:val="1F5B545A"/>
    <w:rsid w:val="1FA54DA2"/>
    <w:rsid w:val="20646B48"/>
    <w:rsid w:val="20AC0BFE"/>
    <w:rsid w:val="220B21CD"/>
    <w:rsid w:val="224038ED"/>
    <w:rsid w:val="23701CF8"/>
    <w:rsid w:val="237841CC"/>
    <w:rsid w:val="23C7724D"/>
    <w:rsid w:val="23DA0CCD"/>
    <w:rsid w:val="2414336B"/>
    <w:rsid w:val="24857E0E"/>
    <w:rsid w:val="24CF6E40"/>
    <w:rsid w:val="24F948F4"/>
    <w:rsid w:val="25D30F62"/>
    <w:rsid w:val="260376CE"/>
    <w:rsid w:val="263A1E8A"/>
    <w:rsid w:val="26D233C1"/>
    <w:rsid w:val="276C5630"/>
    <w:rsid w:val="287D2CCA"/>
    <w:rsid w:val="28FA323A"/>
    <w:rsid w:val="292B21C1"/>
    <w:rsid w:val="29665AB7"/>
    <w:rsid w:val="29D54B1C"/>
    <w:rsid w:val="29E26904"/>
    <w:rsid w:val="29EF265B"/>
    <w:rsid w:val="2A0E121B"/>
    <w:rsid w:val="2A670AAC"/>
    <w:rsid w:val="2A947B8F"/>
    <w:rsid w:val="2B773FDC"/>
    <w:rsid w:val="2C401691"/>
    <w:rsid w:val="2C62148C"/>
    <w:rsid w:val="2C7F2F8E"/>
    <w:rsid w:val="2C872F8F"/>
    <w:rsid w:val="2D935D2A"/>
    <w:rsid w:val="2DFC66A7"/>
    <w:rsid w:val="2E2E069F"/>
    <w:rsid w:val="2E372ECC"/>
    <w:rsid w:val="2EA358B9"/>
    <w:rsid w:val="2F145811"/>
    <w:rsid w:val="2F604B85"/>
    <w:rsid w:val="2FAB1697"/>
    <w:rsid w:val="2FD96CC7"/>
    <w:rsid w:val="300610EB"/>
    <w:rsid w:val="304444F5"/>
    <w:rsid w:val="30467656"/>
    <w:rsid w:val="30690663"/>
    <w:rsid w:val="30B13102"/>
    <w:rsid w:val="311C2C2C"/>
    <w:rsid w:val="32130EC2"/>
    <w:rsid w:val="327E414A"/>
    <w:rsid w:val="335E2630"/>
    <w:rsid w:val="34305557"/>
    <w:rsid w:val="34632AA4"/>
    <w:rsid w:val="34857918"/>
    <w:rsid w:val="349E78A3"/>
    <w:rsid w:val="354015C2"/>
    <w:rsid w:val="35A10BA7"/>
    <w:rsid w:val="35A369F2"/>
    <w:rsid w:val="35E059DE"/>
    <w:rsid w:val="35E6684C"/>
    <w:rsid w:val="36130444"/>
    <w:rsid w:val="364610AB"/>
    <w:rsid w:val="366D7130"/>
    <w:rsid w:val="368E699A"/>
    <w:rsid w:val="36992FE8"/>
    <w:rsid w:val="36F62DCD"/>
    <w:rsid w:val="37D21CFF"/>
    <w:rsid w:val="37EA2076"/>
    <w:rsid w:val="381B3C5A"/>
    <w:rsid w:val="38983220"/>
    <w:rsid w:val="38AB100C"/>
    <w:rsid w:val="38D06A21"/>
    <w:rsid w:val="392052BB"/>
    <w:rsid w:val="39974E6E"/>
    <w:rsid w:val="39E10CC3"/>
    <w:rsid w:val="3AB60974"/>
    <w:rsid w:val="3BAF159C"/>
    <w:rsid w:val="3BD33B2A"/>
    <w:rsid w:val="3C1E198E"/>
    <w:rsid w:val="3C3A1461"/>
    <w:rsid w:val="3CFF133F"/>
    <w:rsid w:val="3D167FB7"/>
    <w:rsid w:val="3D9E5FB1"/>
    <w:rsid w:val="3DFF40D1"/>
    <w:rsid w:val="3E1F00B3"/>
    <w:rsid w:val="3F3602B5"/>
    <w:rsid w:val="3F550690"/>
    <w:rsid w:val="40DF3FDA"/>
    <w:rsid w:val="40EE56EC"/>
    <w:rsid w:val="40F9248F"/>
    <w:rsid w:val="413E10FD"/>
    <w:rsid w:val="41743B9C"/>
    <w:rsid w:val="418A0B47"/>
    <w:rsid w:val="41EA19BA"/>
    <w:rsid w:val="42684AD3"/>
    <w:rsid w:val="426938FD"/>
    <w:rsid w:val="426A5C2E"/>
    <w:rsid w:val="426E45DA"/>
    <w:rsid w:val="42807656"/>
    <w:rsid w:val="43353DF6"/>
    <w:rsid w:val="436411C2"/>
    <w:rsid w:val="436D053E"/>
    <w:rsid w:val="437F3FA6"/>
    <w:rsid w:val="43B029E4"/>
    <w:rsid w:val="43E00E4E"/>
    <w:rsid w:val="44524ABB"/>
    <w:rsid w:val="45093E3B"/>
    <w:rsid w:val="456666B6"/>
    <w:rsid w:val="45CD275D"/>
    <w:rsid w:val="467C14FD"/>
    <w:rsid w:val="46C559DB"/>
    <w:rsid w:val="477171F3"/>
    <w:rsid w:val="4772448D"/>
    <w:rsid w:val="479409F4"/>
    <w:rsid w:val="48446E40"/>
    <w:rsid w:val="4848367A"/>
    <w:rsid w:val="48733BC8"/>
    <w:rsid w:val="48EF41F4"/>
    <w:rsid w:val="49593AF3"/>
    <w:rsid w:val="49632ACF"/>
    <w:rsid w:val="498C71C0"/>
    <w:rsid w:val="4A01622B"/>
    <w:rsid w:val="4A2F11AC"/>
    <w:rsid w:val="4B2F488B"/>
    <w:rsid w:val="4BD8343D"/>
    <w:rsid w:val="4BE34D74"/>
    <w:rsid w:val="4C1C0E7A"/>
    <w:rsid w:val="4C931A3A"/>
    <w:rsid w:val="4CAF1A8B"/>
    <w:rsid w:val="4CD65D34"/>
    <w:rsid w:val="4D0373A1"/>
    <w:rsid w:val="4DB04440"/>
    <w:rsid w:val="4DE84684"/>
    <w:rsid w:val="4E0B5E45"/>
    <w:rsid w:val="4E1D06A7"/>
    <w:rsid w:val="4E6776EC"/>
    <w:rsid w:val="4EFB4268"/>
    <w:rsid w:val="4F037E84"/>
    <w:rsid w:val="4F1C3636"/>
    <w:rsid w:val="4F8C672A"/>
    <w:rsid w:val="5017210D"/>
    <w:rsid w:val="50A84B0C"/>
    <w:rsid w:val="50AE4DDF"/>
    <w:rsid w:val="518A5D14"/>
    <w:rsid w:val="518E1360"/>
    <w:rsid w:val="519078D1"/>
    <w:rsid w:val="51EE09E2"/>
    <w:rsid w:val="523C6DB2"/>
    <w:rsid w:val="52667DD1"/>
    <w:rsid w:val="528B3839"/>
    <w:rsid w:val="52AA46CE"/>
    <w:rsid w:val="535101D6"/>
    <w:rsid w:val="53C53424"/>
    <w:rsid w:val="53DD0031"/>
    <w:rsid w:val="540B19D0"/>
    <w:rsid w:val="543F1B85"/>
    <w:rsid w:val="54407CA5"/>
    <w:rsid w:val="549B47E8"/>
    <w:rsid w:val="54B1079F"/>
    <w:rsid w:val="54B65BD5"/>
    <w:rsid w:val="54CA2D0C"/>
    <w:rsid w:val="55197994"/>
    <w:rsid w:val="56494873"/>
    <w:rsid w:val="564D7037"/>
    <w:rsid w:val="56B24D8B"/>
    <w:rsid w:val="57762527"/>
    <w:rsid w:val="579834FA"/>
    <w:rsid w:val="57D82ED4"/>
    <w:rsid w:val="57DC1841"/>
    <w:rsid w:val="58482673"/>
    <w:rsid w:val="586A6A5E"/>
    <w:rsid w:val="588A6E35"/>
    <w:rsid w:val="58BF2508"/>
    <w:rsid w:val="58E043BA"/>
    <w:rsid w:val="59382036"/>
    <w:rsid w:val="59706BC2"/>
    <w:rsid w:val="59815480"/>
    <w:rsid w:val="59C82922"/>
    <w:rsid w:val="5A1542B6"/>
    <w:rsid w:val="5A767663"/>
    <w:rsid w:val="5AEE0E2A"/>
    <w:rsid w:val="5B3631E0"/>
    <w:rsid w:val="5B51562C"/>
    <w:rsid w:val="5B6516D6"/>
    <w:rsid w:val="5C0F0B53"/>
    <w:rsid w:val="5C4960B8"/>
    <w:rsid w:val="5C5345A3"/>
    <w:rsid w:val="5CD33895"/>
    <w:rsid w:val="5DA82595"/>
    <w:rsid w:val="5DBC5F82"/>
    <w:rsid w:val="5DF346AE"/>
    <w:rsid w:val="5E016EB4"/>
    <w:rsid w:val="5E0A1E15"/>
    <w:rsid w:val="5E174F1D"/>
    <w:rsid w:val="5E1A3BBA"/>
    <w:rsid w:val="5F3B30B9"/>
    <w:rsid w:val="5F7C47BD"/>
    <w:rsid w:val="5F8712BF"/>
    <w:rsid w:val="5F9D751D"/>
    <w:rsid w:val="60525985"/>
    <w:rsid w:val="60592720"/>
    <w:rsid w:val="613006B1"/>
    <w:rsid w:val="613950C4"/>
    <w:rsid w:val="61C4728D"/>
    <w:rsid w:val="62031365"/>
    <w:rsid w:val="620A262B"/>
    <w:rsid w:val="624F0AC4"/>
    <w:rsid w:val="62843992"/>
    <w:rsid w:val="62FA21C1"/>
    <w:rsid w:val="633721CA"/>
    <w:rsid w:val="634622A4"/>
    <w:rsid w:val="637B6ED0"/>
    <w:rsid w:val="63912742"/>
    <w:rsid w:val="63945490"/>
    <w:rsid w:val="63AE4F26"/>
    <w:rsid w:val="63E10075"/>
    <w:rsid w:val="63E1287B"/>
    <w:rsid w:val="64A52790"/>
    <w:rsid w:val="64B52CF2"/>
    <w:rsid w:val="667E7E90"/>
    <w:rsid w:val="66A175FE"/>
    <w:rsid w:val="66B8067F"/>
    <w:rsid w:val="674844AA"/>
    <w:rsid w:val="67816526"/>
    <w:rsid w:val="67A00E61"/>
    <w:rsid w:val="67C4459E"/>
    <w:rsid w:val="6816220F"/>
    <w:rsid w:val="68182E3E"/>
    <w:rsid w:val="68325490"/>
    <w:rsid w:val="683770CA"/>
    <w:rsid w:val="688F7780"/>
    <w:rsid w:val="68A51ED1"/>
    <w:rsid w:val="68D1611F"/>
    <w:rsid w:val="69697C8E"/>
    <w:rsid w:val="697A03DE"/>
    <w:rsid w:val="698334C9"/>
    <w:rsid w:val="69DD55CB"/>
    <w:rsid w:val="6A2A0189"/>
    <w:rsid w:val="6A3800ED"/>
    <w:rsid w:val="6A7110AB"/>
    <w:rsid w:val="6A8130F1"/>
    <w:rsid w:val="6B5817DB"/>
    <w:rsid w:val="6B66599E"/>
    <w:rsid w:val="6B8539DB"/>
    <w:rsid w:val="6C390B47"/>
    <w:rsid w:val="6C9A74DF"/>
    <w:rsid w:val="6CE7635D"/>
    <w:rsid w:val="6D772F0E"/>
    <w:rsid w:val="6E0236FA"/>
    <w:rsid w:val="6E644DE4"/>
    <w:rsid w:val="6E7603BF"/>
    <w:rsid w:val="6E7F7971"/>
    <w:rsid w:val="6E973CF6"/>
    <w:rsid w:val="6ECC374D"/>
    <w:rsid w:val="6EEB3A0B"/>
    <w:rsid w:val="6F180E11"/>
    <w:rsid w:val="6F256D56"/>
    <w:rsid w:val="6F5F486C"/>
    <w:rsid w:val="6F651E3D"/>
    <w:rsid w:val="6FA53CA4"/>
    <w:rsid w:val="6FD06E62"/>
    <w:rsid w:val="6FF81EA9"/>
    <w:rsid w:val="70073254"/>
    <w:rsid w:val="702D1B12"/>
    <w:rsid w:val="70794366"/>
    <w:rsid w:val="70985EDB"/>
    <w:rsid w:val="710A20F8"/>
    <w:rsid w:val="718B59D8"/>
    <w:rsid w:val="719F5B17"/>
    <w:rsid w:val="72DC1A77"/>
    <w:rsid w:val="74914D1F"/>
    <w:rsid w:val="74D25308"/>
    <w:rsid w:val="74F11E45"/>
    <w:rsid w:val="75187047"/>
    <w:rsid w:val="754D79A8"/>
    <w:rsid w:val="758754F8"/>
    <w:rsid w:val="75B615D1"/>
    <w:rsid w:val="760301C7"/>
    <w:rsid w:val="7604731A"/>
    <w:rsid w:val="762C443C"/>
    <w:rsid w:val="76DB7A81"/>
    <w:rsid w:val="76E84982"/>
    <w:rsid w:val="77187FD0"/>
    <w:rsid w:val="771A5907"/>
    <w:rsid w:val="78B519C9"/>
    <w:rsid w:val="793B68D7"/>
    <w:rsid w:val="7A085559"/>
    <w:rsid w:val="7A4220CD"/>
    <w:rsid w:val="7AB1139A"/>
    <w:rsid w:val="7B2566E4"/>
    <w:rsid w:val="7C26559F"/>
    <w:rsid w:val="7C3F5CAE"/>
    <w:rsid w:val="7C665C3E"/>
    <w:rsid w:val="7C9D388C"/>
    <w:rsid w:val="7D0E6297"/>
    <w:rsid w:val="7D4A7FBA"/>
    <w:rsid w:val="7D5850AE"/>
    <w:rsid w:val="7DCE38F9"/>
    <w:rsid w:val="7E3A08DE"/>
    <w:rsid w:val="7EC305DD"/>
    <w:rsid w:val="7EDD6A69"/>
    <w:rsid w:val="7FE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styleId="13">
    <w:name w:val="Placeholder Text"/>
    <w:basedOn w:val="9"/>
    <w:unhideWhenUsed/>
    <w:qFormat/>
    <w:uiPriority w:val="99"/>
    <w:rPr>
      <w:color w:val="808080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标题 2 Char"/>
    <w:basedOn w:val="9"/>
    <w:link w:val="2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17">
    <w:name w:val="页眉 Char"/>
    <w:basedOn w:val="9"/>
    <w:link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basedOn w:val="9"/>
    <w:link w:val="4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18808-6FD2-4D4F-BCBC-E80A0905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1382</Words>
  <Characters>7881</Characters>
  <Lines>65</Lines>
  <Paragraphs>18</Paragraphs>
  <TotalTime>14</TotalTime>
  <ScaleCrop>false</ScaleCrop>
  <LinksUpToDate>false</LinksUpToDate>
  <CharactersWithSpaces>9245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2019-06-01T00:43:00Z</dcterms:created>
  <dc:creator>斑马线的留恋</dc:creator>
  <cp:lastModifiedBy>亚茹</cp:lastModifiedBy>
  <cp:lastPrinted>2019-06-01T00:56:00Z</cp:lastPrinted>
  <dcterms:modified xsi:type="dcterms:W3CDTF">2019-09-16T00:01:53Z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